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4F6" w:rsidRDefault="004F44F6" w:rsidP="004F44F6">
      <w:pPr>
        <w:widowControl w:val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  <w:r w:rsidRPr="004F44F6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Описание результатов осуществления практики</w:t>
      </w:r>
    </w:p>
    <w:p w:rsidR="004F44F6" w:rsidRDefault="004F44F6" w:rsidP="004F44F6">
      <w:pPr>
        <w:widowControl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4F44F6" w:rsidRDefault="004F44F6" w:rsidP="00E41F8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23AE" w:rsidRPr="00CA23AE" w:rsidRDefault="00CA23AE" w:rsidP="00CA23AE">
      <w:pPr>
        <w:widowControl w:val="0"/>
        <w:spacing w:line="360" w:lineRule="exact"/>
        <w:ind w:firstLine="7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>Внедрённая модель централизации позволила добиться ожидаемых положительных результатов в части экономии ресурсов:</w:t>
      </w:r>
    </w:p>
    <w:p w:rsidR="00CA23AE" w:rsidRPr="00CA23AE" w:rsidRDefault="00CA23AE" w:rsidP="00CA23AE">
      <w:pPr>
        <w:widowControl w:val="0"/>
        <w:spacing w:line="360" w:lineRule="exact"/>
        <w:ind w:firstLine="7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– снизилась нагрузка на контрактных управляющих и сотрудников контрактных служб благодаря исключению из их обязанностей по подготовке закупочной документации, сопровождения закупки. Для заказчиков с небольшими объёмами закупок это позволило не вводить в структуру учреждения дополнительные ставки </w:t>
      </w:r>
      <w:proofErr w:type="gramStart"/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>освобождённых  контрактных</w:t>
      </w:r>
      <w:proofErr w:type="gramEnd"/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управляющих, использовав практику совмещения;</w:t>
      </w:r>
    </w:p>
    <w:p w:rsidR="00CA23AE" w:rsidRPr="00CA23AE" w:rsidRDefault="00CA23AE" w:rsidP="00CA23AE">
      <w:pPr>
        <w:widowControl w:val="0"/>
        <w:spacing w:line="360" w:lineRule="exact"/>
        <w:ind w:firstLine="7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>– снизилась нагрузка на сотрудников заказчиков Тульской области за счёт исключения из их полномочий проведения аукционных и конкурсных комиссий, оформления протоколов;</w:t>
      </w:r>
    </w:p>
    <w:p w:rsidR="00CA23AE" w:rsidRPr="00CA23AE" w:rsidRDefault="00CA23AE" w:rsidP="00CA23AE">
      <w:pPr>
        <w:widowControl w:val="0"/>
        <w:spacing w:line="360" w:lineRule="exact"/>
        <w:ind w:firstLine="7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– обеспечен стабильно низкий процент признанных обоснованными жалоб на действия комиссии (в среднем 0,17%, от количества закупок, проведённых конкурентными способами) и жалоб на действия заказчиков при составлении </w:t>
      </w:r>
      <w:proofErr w:type="gramStart"/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>документации  (</w:t>
      </w:r>
      <w:proofErr w:type="gramEnd"/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>0,2% от всех документаций);</w:t>
      </w:r>
    </w:p>
    <w:p w:rsidR="00CA23AE" w:rsidRPr="00CA23AE" w:rsidRDefault="00CA23AE" w:rsidP="00CA23AE">
      <w:pPr>
        <w:widowControl w:val="0"/>
        <w:spacing w:line="360" w:lineRule="exact"/>
        <w:ind w:firstLine="7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>– уменьшилась нагрузка на заказчиков в части значительного снижения объёмов работы контрактных управляющих путём использования унифицированных технических заданий и контрактов, использования для обоснования начальных (максимальных) цен контрактов централизованных маркетинговых исследований;</w:t>
      </w:r>
    </w:p>
    <w:p w:rsidR="00CA23AE" w:rsidRPr="00CA23AE" w:rsidRDefault="00CA23AE" w:rsidP="00CA23AE">
      <w:pPr>
        <w:widowControl w:val="0"/>
        <w:spacing w:line="360" w:lineRule="exact"/>
        <w:ind w:firstLine="7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>– решены проблемы кадрового обеспечения контрактных служб в муниципальных образованиях за счёт снижения требований к уровню квалификации специалистов, работающих в структуре муниципальных заказчиков.</w:t>
      </w:r>
    </w:p>
    <w:p w:rsidR="00CA23AE" w:rsidRPr="00CA23AE" w:rsidRDefault="00CA23AE" w:rsidP="00CA23AE">
      <w:pPr>
        <w:widowControl w:val="0"/>
        <w:spacing w:line="360" w:lineRule="exact"/>
        <w:ind w:firstLine="7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Кроме того были получены </w:t>
      </w:r>
      <w:proofErr w:type="gramStart"/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>дополнительные  положительные</w:t>
      </w:r>
      <w:proofErr w:type="gramEnd"/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результаты:</w:t>
      </w:r>
    </w:p>
    <w:p w:rsidR="00CA23AE" w:rsidRPr="00CA23AE" w:rsidRDefault="00CA23AE" w:rsidP="00CA23AE">
      <w:pPr>
        <w:widowControl w:val="0"/>
        <w:spacing w:line="360" w:lineRule="exact"/>
        <w:ind w:firstLine="7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– минимизированы </w:t>
      </w:r>
      <w:proofErr w:type="spellStart"/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>коррупциогенные</w:t>
      </w:r>
      <w:proofErr w:type="spellEnd"/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факторы за счёт исключения контакта потенциального поставщика и заказчика до момента подписания контракта;</w:t>
      </w:r>
    </w:p>
    <w:p w:rsidR="00CA23AE" w:rsidRPr="00CA23AE" w:rsidRDefault="00CA23AE" w:rsidP="00CA23AE">
      <w:pPr>
        <w:widowControl w:val="0"/>
        <w:spacing w:line="360" w:lineRule="exact"/>
        <w:ind w:firstLine="7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>– централизована обработка аналитических сведений о проблемах, возникающих при размещении закупок, в том числе в части поступления запросов на разъяснения и жалоб, что позволило оперативно изменять методические и методологические документы, проекты контрактов, технических заданий;</w:t>
      </w:r>
    </w:p>
    <w:p w:rsidR="00CA23AE" w:rsidRPr="00CA23AE" w:rsidRDefault="00CA23AE" w:rsidP="00CA23AE">
      <w:pPr>
        <w:widowControl w:val="0"/>
        <w:spacing w:line="360" w:lineRule="exact"/>
        <w:ind w:firstLine="7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– реализован механизм трансляции заказчикам требования о единых подходах к используемым контрактам, техническим заданиям и описаниям продукции, обоснованию НМЦК за счёт использования уполномоченным </w:t>
      </w:r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>учреждением типовых документов;</w:t>
      </w:r>
    </w:p>
    <w:p w:rsidR="00CA23AE" w:rsidRPr="00CA23AE" w:rsidRDefault="00CA23AE" w:rsidP="00CA23AE">
      <w:pPr>
        <w:widowControl w:val="0"/>
        <w:spacing w:line="360" w:lineRule="exact"/>
        <w:ind w:firstLine="7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>– главные распорядители бюджетных средств получили возможность для оперативного осуществления сплошного ведомственного контроля;</w:t>
      </w:r>
    </w:p>
    <w:p w:rsidR="00CA23AE" w:rsidRPr="00CA23AE" w:rsidRDefault="00CA23AE" w:rsidP="00CA23AE">
      <w:pPr>
        <w:widowControl w:val="0"/>
        <w:spacing w:line="360" w:lineRule="exact"/>
        <w:ind w:firstLine="72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CA23A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– получила развитие практика проведения совместных закупок. </w:t>
      </w:r>
    </w:p>
    <w:p w:rsidR="00CA23AE" w:rsidRPr="00CA23AE" w:rsidRDefault="00CA23AE" w:rsidP="00CA23AE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A23AE">
        <w:rPr>
          <w:rFonts w:ascii="Times New Roman" w:hAnsi="Times New Roman" w:cs="Times New Roman"/>
          <w:sz w:val="28"/>
          <w:szCs w:val="28"/>
        </w:rPr>
        <w:t>Подтверждением достигнутых результатов является следующие статистические сведения.</w:t>
      </w:r>
    </w:p>
    <w:p w:rsidR="00CA23AE" w:rsidRPr="00CA23AE" w:rsidRDefault="00CA23AE" w:rsidP="00CA23AE">
      <w:pPr>
        <w:pStyle w:val="a3"/>
        <w:numPr>
          <w:ilvl w:val="0"/>
          <w:numId w:val="5"/>
        </w:numPr>
        <w:spacing w:after="0" w:line="360" w:lineRule="exact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CA23AE">
        <w:rPr>
          <w:rFonts w:ascii="Times New Roman" w:eastAsiaTheme="minorHAnsi" w:hAnsi="Times New Roman" w:cs="Times New Roman"/>
          <w:sz w:val="28"/>
          <w:szCs w:val="28"/>
        </w:rPr>
        <w:t>Реализация механизма централизации позволила значительно увеличить объём обрабатываемых заявок заказчиков, количество размещаемых на их основании закупок, а также дала возможность повысить качество размещаемой документации. Следует отметить, что численность специалистов ГКУ ТО «Центр организации закупок» является стабильной и составляет 40 человек, обеспечивающих подготовку, публикацию и сопровождение закупочной документации государственных и муниципальных заказчиков, обеспечивающих проведение аукционных комиссий.</w:t>
      </w:r>
    </w:p>
    <w:p w:rsidR="00CA23AE" w:rsidRPr="00CA23AE" w:rsidRDefault="00CA23AE" w:rsidP="00CA23A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23AE">
        <w:rPr>
          <w:rFonts w:ascii="Times New Roman" w:hAnsi="Times New Roman" w:cs="Times New Roman"/>
          <w:i/>
          <w:sz w:val="28"/>
          <w:szCs w:val="28"/>
        </w:rPr>
        <w:t>Табл. 1 Динамика количества размещённых закупок</w:t>
      </w:r>
    </w:p>
    <w:tbl>
      <w:tblPr>
        <w:tblStyle w:val="a4"/>
        <w:tblW w:w="4990" w:type="pct"/>
        <w:jc w:val="center"/>
        <w:tblLayout w:type="fixed"/>
        <w:tblLook w:val="04A0" w:firstRow="1" w:lastRow="0" w:firstColumn="1" w:lastColumn="0" w:noHBand="0" w:noVBand="1"/>
      </w:tblPr>
      <w:tblGrid>
        <w:gridCol w:w="1625"/>
        <w:gridCol w:w="969"/>
        <w:gridCol w:w="1087"/>
        <w:gridCol w:w="992"/>
        <w:gridCol w:w="1436"/>
        <w:gridCol w:w="1113"/>
        <w:gridCol w:w="14"/>
        <w:gridCol w:w="1100"/>
        <w:gridCol w:w="990"/>
      </w:tblGrid>
      <w:tr w:rsidR="00CA23AE" w:rsidRPr="00CA23AE" w:rsidTr="00CA23AE">
        <w:trPr>
          <w:jc w:val="center"/>
        </w:trPr>
        <w:tc>
          <w:tcPr>
            <w:tcW w:w="1625" w:type="dxa"/>
            <w:vAlign w:val="center"/>
          </w:tcPr>
          <w:p w:rsidR="00CA23AE" w:rsidRPr="00CA23AE" w:rsidRDefault="00CA23AE" w:rsidP="00DF5494">
            <w:pPr>
              <w:ind w:firstLine="0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69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087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992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436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2013 (создание учреждения)</w:t>
            </w:r>
          </w:p>
        </w:tc>
        <w:tc>
          <w:tcPr>
            <w:tcW w:w="1113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114" w:type="dxa"/>
            <w:gridSpan w:val="2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0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2016</w:t>
            </w:r>
          </w:p>
        </w:tc>
      </w:tr>
      <w:tr w:rsidR="00CA23AE" w:rsidRPr="00CA23AE" w:rsidTr="00CA23AE">
        <w:trPr>
          <w:jc w:val="center"/>
        </w:trPr>
        <w:tc>
          <w:tcPr>
            <w:tcW w:w="1625" w:type="dxa"/>
          </w:tcPr>
          <w:p w:rsidR="00CA23AE" w:rsidRPr="00CA23AE" w:rsidRDefault="00CA23AE" w:rsidP="00DF5494"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Количество сотрудников уполномоченного учреждения</w:t>
            </w:r>
          </w:p>
        </w:tc>
        <w:tc>
          <w:tcPr>
            <w:tcW w:w="969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7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6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13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14" w:type="dxa"/>
            <w:gridSpan w:val="2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0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40</w:t>
            </w:r>
          </w:p>
        </w:tc>
      </w:tr>
      <w:tr w:rsidR="00CA23AE" w:rsidRPr="00CA23AE" w:rsidTr="00CA23AE">
        <w:trPr>
          <w:jc w:val="center"/>
        </w:trPr>
        <w:tc>
          <w:tcPr>
            <w:tcW w:w="1625" w:type="dxa"/>
          </w:tcPr>
          <w:p w:rsidR="00CA23AE" w:rsidRPr="00CA23AE" w:rsidRDefault="00CA23AE" w:rsidP="00DF5494"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Количество заявок государственных и муниципальных заказчиков, по которым размещены закупки</w:t>
            </w:r>
          </w:p>
        </w:tc>
        <w:tc>
          <w:tcPr>
            <w:tcW w:w="969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1087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2 544</w:t>
            </w:r>
          </w:p>
        </w:tc>
        <w:tc>
          <w:tcPr>
            <w:tcW w:w="992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9 171</w:t>
            </w:r>
          </w:p>
        </w:tc>
        <w:tc>
          <w:tcPr>
            <w:tcW w:w="1436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12 368</w:t>
            </w:r>
          </w:p>
        </w:tc>
        <w:tc>
          <w:tcPr>
            <w:tcW w:w="1113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20 078</w:t>
            </w:r>
          </w:p>
        </w:tc>
        <w:tc>
          <w:tcPr>
            <w:tcW w:w="1114" w:type="dxa"/>
            <w:gridSpan w:val="2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22 507</w:t>
            </w:r>
          </w:p>
        </w:tc>
        <w:tc>
          <w:tcPr>
            <w:tcW w:w="990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24 246</w:t>
            </w:r>
          </w:p>
        </w:tc>
      </w:tr>
      <w:tr w:rsidR="00CA23AE" w:rsidRPr="00CA23AE" w:rsidTr="00CA23AE">
        <w:trPr>
          <w:jc w:val="center"/>
        </w:trPr>
        <w:tc>
          <w:tcPr>
            <w:tcW w:w="1625" w:type="dxa"/>
          </w:tcPr>
          <w:p w:rsidR="00CA23AE" w:rsidRPr="00CA23AE" w:rsidRDefault="00CA23AE" w:rsidP="00DF5494"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Сумма закупок,</w:t>
            </w:r>
          </w:p>
          <w:p w:rsidR="00CA23AE" w:rsidRPr="00CA23AE" w:rsidRDefault="00CA23AE" w:rsidP="00DF5494"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4 566,9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3 811,4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14 632,5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17 044,01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29 797,9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21 680,5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30 021,1</w:t>
            </w:r>
          </w:p>
        </w:tc>
      </w:tr>
      <w:tr w:rsidR="00CA23AE" w:rsidRPr="00CA23AE" w:rsidTr="00CA23AE">
        <w:trPr>
          <w:jc w:val="center"/>
        </w:trPr>
        <w:tc>
          <w:tcPr>
            <w:tcW w:w="1625" w:type="dxa"/>
          </w:tcPr>
          <w:p w:rsidR="00CA23AE" w:rsidRPr="00CA23AE" w:rsidRDefault="00CA23AE" w:rsidP="00DF5494"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Количество закупок</w:t>
            </w:r>
          </w:p>
        </w:tc>
        <w:tc>
          <w:tcPr>
            <w:tcW w:w="969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1087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1 640</w:t>
            </w:r>
          </w:p>
        </w:tc>
        <w:tc>
          <w:tcPr>
            <w:tcW w:w="992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6 581</w:t>
            </w:r>
          </w:p>
        </w:tc>
        <w:tc>
          <w:tcPr>
            <w:tcW w:w="1436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8 538</w:t>
            </w:r>
          </w:p>
        </w:tc>
        <w:tc>
          <w:tcPr>
            <w:tcW w:w="1127" w:type="dxa"/>
            <w:gridSpan w:val="2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10 546</w:t>
            </w:r>
          </w:p>
        </w:tc>
        <w:tc>
          <w:tcPr>
            <w:tcW w:w="1100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8 354</w:t>
            </w:r>
          </w:p>
        </w:tc>
        <w:tc>
          <w:tcPr>
            <w:tcW w:w="990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10 256</w:t>
            </w:r>
          </w:p>
        </w:tc>
      </w:tr>
      <w:tr w:rsidR="00CA23AE" w:rsidRPr="00CA23AE" w:rsidTr="00CA23AE">
        <w:trPr>
          <w:jc w:val="center"/>
        </w:trPr>
        <w:tc>
          <w:tcPr>
            <w:tcW w:w="1625" w:type="dxa"/>
          </w:tcPr>
          <w:p w:rsidR="00CA23AE" w:rsidRPr="00CA23AE" w:rsidRDefault="00CA23AE" w:rsidP="00DF5494"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CA23AE">
              <w:rPr>
                <w:rFonts w:ascii="Times New Roman" w:hAnsi="Times New Roman" w:cs="Times New Roman"/>
              </w:rPr>
              <w:t>т.ч</w:t>
            </w:r>
            <w:proofErr w:type="spellEnd"/>
            <w:r w:rsidRPr="00CA23AE">
              <w:rPr>
                <w:rFonts w:ascii="Times New Roman" w:hAnsi="Times New Roman" w:cs="Times New Roman"/>
              </w:rPr>
              <w:t>. совместных (когда в одной закупке объединено несколько заявок)</w:t>
            </w:r>
          </w:p>
        </w:tc>
        <w:tc>
          <w:tcPr>
            <w:tcW w:w="969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87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1436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127" w:type="dxa"/>
            <w:gridSpan w:val="2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100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990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583</w:t>
            </w:r>
          </w:p>
        </w:tc>
      </w:tr>
    </w:tbl>
    <w:p w:rsidR="00CA23AE" w:rsidRPr="00CA23AE" w:rsidRDefault="00CA23AE" w:rsidP="00CA23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3AE" w:rsidRPr="00CA23AE" w:rsidRDefault="00CA23AE" w:rsidP="00CA23AE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i/>
          <w:sz w:val="28"/>
          <w:szCs w:val="28"/>
        </w:rPr>
      </w:pPr>
      <w:r w:rsidRPr="00CA23AE">
        <w:rPr>
          <w:rFonts w:ascii="Times New Roman" w:eastAsiaTheme="minorHAnsi" w:hAnsi="Times New Roman" w:cs="Times New Roman"/>
          <w:sz w:val="28"/>
          <w:szCs w:val="28"/>
        </w:rPr>
        <w:t xml:space="preserve">Реализация механизма </w:t>
      </w:r>
      <w:proofErr w:type="gramStart"/>
      <w:r w:rsidRPr="00CA23AE">
        <w:rPr>
          <w:rFonts w:ascii="Times New Roman" w:eastAsiaTheme="minorHAnsi" w:hAnsi="Times New Roman" w:cs="Times New Roman"/>
          <w:sz w:val="28"/>
          <w:szCs w:val="28"/>
        </w:rPr>
        <w:t>централизации  позволила</w:t>
      </w:r>
      <w:proofErr w:type="gramEnd"/>
      <w:r w:rsidRPr="00CA23AE">
        <w:rPr>
          <w:rFonts w:ascii="Times New Roman" w:eastAsiaTheme="minorHAnsi" w:hAnsi="Times New Roman" w:cs="Times New Roman"/>
          <w:sz w:val="28"/>
          <w:szCs w:val="28"/>
        </w:rPr>
        <w:t xml:space="preserve"> исключить необходимость создания заказчиками комиссий по рассмотрению и оценке заявок.  </w:t>
      </w:r>
    </w:p>
    <w:p w:rsidR="00CA23AE" w:rsidRPr="00CA23AE" w:rsidRDefault="00CA23AE" w:rsidP="00CA23A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23AE">
        <w:rPr>
          <w:rFonts w:ascii="Times New Roman" w:hAnsi="Times New Roman" w:cs="Times New Roman"/>
          <w:i/>
          <w:sz w:val="28"/>
          <w:szCs w:val="28"/>
        </w:rPr>
        <w:lastRenderedPageBreak/>
        <w:t>Табл. 2 Динамика количества проведённых заседаний аукционных комиссий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1590"/>
        <w:gridCol w:w="1061"/>
        <w:gridCol w:w="1062"/>
        <w:gridCol w:w="1062"/>
        <w:gridCol w:w="1517"/>
        <w:gridCol w:w="1062"/>
        <w:gridCol w:w="1062"/>
        <w:gridCol w:w="929"/>
      </w:tblGrid>
      <w:tr w:rsidR="00CA23AE" w:rsidRPr="00CA23AE" w:rsidTr="00DF5494">
        <w:trPr>
          <w:jc w:val="center"/>
        </w:trPr>
        <w:tc>
          <w:tcPr>
            <w:tcW w:w="1614" w:type="dxa"/>
          </w:tcPr>
          <w:p w:rsidR="00CA23AE" w:rsidRPr="00CA23AE" w:rsidRDefault="00CA23AE" w:rsidP="00DF5494"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096" w:type="dxa"/>
          </w:tcPr>
          <w:p w:rsidR="00CA23AE" w:rsidRPr="00CA23AE" w:rsidRDefault="00CA23AE" w:rsidP="00DF5494">
            <w:pPr>
              <w:ind w:firstLine="0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096" w:type="dxa"/>
          </w:tcPr>
          <w:p w:rsidR="00CA23AE" w:rsidRPr="00CA23AE" w:rsidRDefault="00CA23AE" w:rsidP="00DF5494">
            <w:pPr>
              <w:ind w:firstLine="0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096" w:type="dxa"/>
          </w:tcPr>
          <w:p w:rsidR="00CA23AE" w:rsidRPr="00CA23AE" w:rsidRDefault="00CA23AE" w:rsidP="00DF5494">
            <w:pPr>
              <w:ind w:firstLine="0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525" w:type="dxa"/>
          </w:tcPr>
          <w:p w:rsidR="00CA23AE" w:rsidRPr="00CA23AE" w:rsidRDefault="00CA23AE" w:rsidP="00DF5494">
            <w:pPr>
              <w:ind w:firstLine="0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2013 (создание учреждения)</w:t>
            </w:r>
          </w:p>
        </w:tc>
        <w:tc>
          <w:tcPr>
            <w:tcW w:w="1096" w:type="dxa"/>
          </w:tcPr>
          <w:p w:rsidR="00CA23AE" w:rsidRPr="00CA23AE" w:rsidRDefault="00CA23AE" w:rsidP="00DF5494">
            <w:pPr>
              <w:ind w:firstLine="0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096" w:type="dxa"/>
          </w:tcPr>
          <w:p w:rsidR="00CA23AE" w:rsidRPr="00CA23AE" w:rsidRDefault="00CA23AE" w:rsidP="00DF5494">
            <w:pPr>
              <w:ind w:firstLine="0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52" w:type="dxa"/>
          </w:tcPr>
          <w:p w:rsidR="00CA23AE" w:rsidRPr="00CA23AE" w:rsidRDefault="00CA23AE" w:rsidP="00DF5494">
            <w:pPr>
              <w:ind w:firstLine="0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2016</w:t>
            </w:r>
          </w:p>
        </w:tc>
      </w:tr>
      <w:tr w:rsidR="00CA23AE" w:rsidRPr="00CA23AE" w:rsidTr="00DF5494">
        <w:trPr>
          <w:jc w:val="center"/>
        </w:trPr>
        <w:tc>
          <w:tcPr>
            <w:tcW w:w="1614" w:type="dxa"/>
          </w:tcPr>
          <w:p w:rsidR="00CA23AE" w:rsidRPr="00CA23AE" w:rsidRDefault="00CA23AE" w:rsidP="00DF5494"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Количество заседаний комиссий</w:t>
            </w:r>
          </w:p>
        </w:tc>
        <w:tc>
          <w:tcPr>
            <w:tcW w:w="1096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1096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3 101</w:t>
            </w:r>
          </w:p>
        </w:tc>
        <w:tc>
          <w:tcPr>
            <w:tcW w:w="1096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10 790</w:t>
            </w:r>
          </w:p>
        </w:tc>
        <w:tc>
          <w:tcPr>
            <w:tcW w:w="1525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13 550</w:t>
            </w:r>
          </w:p>
        </w:tc>
        <w:tc>
          <w:tcPr>
            <w:tcW w:w="1096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16 015</w:t>
            </w:r>
          </w:p>
        </w:tc>
        <w:tc>
          <w:tcPr>
            <w:tcW w:w="1096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11 853</w:t>
            </w:r>
          </w:p>
        </w:tc>
        <w:tc>
          <w:tcPr>
            <w:tcW w:w="952" w:type="dxa"/>
            <w:vAlign w:val="center"/>
          </w:tcPr>
          <w:p w:rsidR="00CA23AE" w:rsidRPr="00CA23AE" w:rsidRDefault="00CA23AE" w:rsidP="00DF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A23AE">
              <w:rPr>
                <w:rFonts w:ascii="Times New Roman" w:hAnsi="Times New Roman" w:cs="Times New Roman"/>
              </w:rPr>
              <w:t>12 389</w:t>
            </w:r>
          </w:p>
        </w:tc>
      </w:tr>
    </w:tbl>
    <w:p w:rsidR="00CA23AE" w:rsidRPr="00CA23AE" w:rsidRDefault="00CA23AE" w:rsidP="00CA23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3AE" w:rsidRPr="00CA23AE" w:rsidRDefault="00CA23AE" w:rsidP="00CA23AE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CA23AE">
        <w:rPr>
          <w:rFonts w:ascii="Times New Roman" w:eastAsiaTheme="minorHAnsi" w:hAnsi="Times New Roman" w:cs="Times New Roman"/>
          <w:sz w:val="28"/>
          <w:szCs w:val="28"/>
        </w:rPr>
        <w:t>Реализация механизма централизации позволила уменьшить количество контрактных управляющих и сотрудников контрактных служб.</w:t>
      </w:r>
    </w:p>
    <w:p w:rsidR="00CA23AE" w:rsidRPr="00CA23AE" w:rsidRDefault="00CA23AE" w:rsidP="00CA23AE">
      <w:pPr>
        <w:pStyle w:val="a3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CA23AE">
        <w:rPr>
          <w:rFonts w:ascii="Times New Roman" w:eastAsiaTheme="minorHAnsi" w:hAnsi="Times New Roman" w:cs="Times New Roman"/>
          <w:sz w:val="28"/>
          <w:szCs w:val="28"/>
        </w:rPr>
        <w:t xml:space="preserve">В частности, на 1 января 2017 года количество специалистов, непосредственно занятых в процессе осуществления закупок при существующей в Тульской области централизации закупок составило 601 человек (включая сотрудников ГКУ ТО «Центр организации закупок») в </w:t>
      </w:r>
      <w:r>
        <w:rPr>
          <w:rFonts w:ascii="Times New Roman" w:eastAsiaTheme="minorHAnsi" w:hAnsi="Times New Roman" w:cs="Times New Roman"/>
          <w:sz w:val="28"/>
          <w:szCs w:val="28"/>
        </w:rPr>
        <w:t>235</w:t>
      </w:r>
      <w:r w:rsidRPr="00CA23AE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заказчиках</w:t>
      </w:r>
      <w:r w:rsidRPr="00CA23AE">
        <w:rPr>
          <w:rFonts w:ascii="Times New Roman" w:eastAsiaTheme="minorHAnsi" w:hAnsi="Times New Roman" w:cs="Times New Roman"/>
          <w:sz w:val="28"/>
          <w:szCs w:val="28"/>
        </w:rPr>
        <w:t xml:space="preserve">. В случае применения децентрализованной модели закупочной системы, количество специалистов, непосредственно занятых в процессе осуществления закупок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по нашим оценкам </w:t>
      </w:r>
      <w:r w:rsidRPr="00CA23AE">
        <w:rPr>
          <w:rFonts w:ascii="Times New Roman" w:eastAsiaTheme="minorHAnsi" w:hAnsi="Times New Roman" w:cs="Times New Roman"/>
          <w:sz w:val="28"/>
          <w:szCs w:val="28"/>
        </w:rPr>
        <w:t>возросло бы как минимум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в два раза</w:t>
      </w:r>
      <w:r w:rsidRPr="00CA23AE">
        <w:rPr>
          <w:rFonts w:ascii="Times New Roman" w:eastAsiaTheme="minorHAnsi" w:hAnsi="Times New Roman" w:cs="Times New Roman"/>
          <w:sz w:val="28"/>
          <w:szCs w:val="28"/>
        </w:rPr>
        <w:t>.</w:t>
      </w:r>
      <w:bookmarkStart w:id="0" w:name="_GoBack"/>
      <w:bookmarkEnd w:id="0"/>
    </w:p>
    <w:p w:rsidR="000E6CA1" w:rsidRDefault="000E6CA1" w:rsidP="00F01A9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E6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A6B09"/>
    <w:multiLevelType w:val="hybridMultilevel"/>
    <w:tmpl w:val="90F0A90C"/>
    <w:lvl w:ilvl="0" w:tplc="15EAEF7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3661E"/>
    <w:multiLevelType w:val="hybridMultilevel"/>
    <w:tmpl w:val="90F0A90C"/>
    <w:lvl w:ilvl="0" w:tplc="15EAEF7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A7ED6"/>
    <w:multiLevelType w:val="hybridMultilevel"/>
    <w:tmpl w:val="D62287E0"/>
    <w:lvl w:ilvl="0" w:tplc="AC5A7A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DB495D"/>
    <w:multiLevelType w:val="hybridMultilevel"/>
    <w:tmpl w:val="46E2B90A"/>
    <w:lvl w:ilvl="0" w:tplc="299A8772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AF22D9"/>
    <w:multiLevelType w:val="hybridMultilevel"/>
    <w:tmpl w:val="8FD69C06"/>
    <w:lvl w:ilvl="0" w:tplc="FF0E83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F96"/>
    <w:rsid w:val="00074FEA"/>
    <w:rsid w:val="00077464"/>
    <w:rsid w:val="000E0CAF"/>
    <w:rsid w:val="000E6CA1"/>
    <w:rsid w:val="000F3680"/>
    <w:rsid w:val="00121CF5"/>
    <w:rsid w:val="00157B66"/>
    <w:rsid w:val="00167CC6"/>
    <w:rsid w:val="001935D1"/>
    <w:rsid w:val="00196E80"/>
    <w:rsid w:val="0027204C"/>
    <w:rsid w:val="002C0554"/>
    <w:rsid w:val="002D5F1A"/>
    <w:rsid w:val="003B259F"/>
    <w:rsid w:val="003C2794"/>
    <w:rsid w:val="004320D8"/>
    <w:rsid w:val="0047158D"/>
    <w:rsid w:val="004F44F6"/>
    <w:rsid w:val="004F7F31"/>
    <w:rsid w:val="0060086D"/>
    <w:rsid w:val="00637F16"/>
    <w:rsid w:val="00742AB6"/>
    <w:rsid w:val="00803B26"/>
    <w:rsid w:val="00866242"/>
    <w:rsid w:val="00A12C17"/>
    <w:rsid w:val="00A97D87"/>
    <w:rsid w:val="00AC2578"/>
    <w:rsid w:val="00AC2A6E"/>
    <w:rsid w:val="00C51C9C"/>
    <w:rsid w:val="00C93608"/>
    <w:rsid w:val="00CA23AE"/>
    <w:rsid w:val="00CD1099"/>
    <w:rsid w:val="00D37B57"/>
    <w:rsid w:val="00D852FA"/>
    <w:rsid w:val="00DD052A"/>
    <w:rsid w:val="00E35DF8"/>
    <w:rsid w:val="00E41F8D"/>
    <w:rsid w:val="00EA5F96"/>
    <w:rsid w:val="00EC01CB"/>
    <w:rsid w:val="00F01A9F"/>
    <w:rsid w:val="00F36071"/>
    <w:rsid w:val="00F37A39"/>
    <w:rsid w:val="00FE350A"/>
    <w:rsid w:val="00FE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A0BB55-DC71-458F-9C26-1015291B7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C17"/>
    <w:pPr>
      <w:spacing w:after="200" w:line="252" w:lineRule="auto"/>
      <w:ind w:left="720" w:firstLine="0"/>
      <w:contextualSpacing/>
    </w:pPr>
    <w:rPr>
      <w:rFonts w:asciiTheme="majorHAnsi" w:eastAsiaTheme="majorEastAsia" w:hAnsiTheme="majorHAnsi" w:cstheme="majorBidi"/>
    </w:rPr>
  </w:style>
  <w:style w:type="table" w:styleId="a4">
    <w:name w:val="Table Grid"/>
    <w:basedOn w:val="a1"/>
    <w:uiPriority w:val="59"/>
    <w:rsid w:val="00A12C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E350A"/>
    <w:rPr>
      <w:rFonts w:ascii="Calibri" w:hAnsi="Calibri" w:cs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350A"/>
    <w:rPr>
      <w:rFonts w:ascii="Calibri" w:hAnsi="Calibri" w:cs="Calibri"/>
      <w:sz w:val="16"/>
      <w:szCs w:val="16"/>
    </w:rPr>
  </w:style>
  <w:style w:type="paragraph" w:customStyle="1" w:styleId="ConsPlusNormal">
    <w:name w:val="ConsPlusNormal"/>
    <w:rsid w:val="00866242"/>
    <w:pPr>
      <w:autoSpaceDE w:val="0"/>
      <w:autoSpaceDN w:val="0"/>
      <w:adjustRightInd w:val="0"/>
      <w:ind w:firstLine="0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Щеников Виктор Викторович</dc:creator>
  <cp:lastModifiedBy>Орлов Михаил Анатольевич</cp:lastModifiedBy>
  <cp:revision>16</cp:revision>
  <cp:lastPrinted>2015-12-19T12:55:00Z</cp:lastPrinted>
  <dcterms:created xsi:type="dcterms:W3CDTF">2017-03-20T15:28:00Z</dcterms:created>
  <dcterms:modified xsi:type="dcterms:W3CDTF">2017-03-22T11:03:00Z</dcterms:modified>
</cp:coreProperties>
</file>